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AB22" w14:textId="77777777" w:rsidR="00EB1D93" w:rsidRDefault="00BE19C3" w:rsidP="00D1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  <w:r w:rsidR="00EB1D93" w:rsidRPr="00EB1D93">
        <w:rPr>
          <w:b/>
          <w:sz w:val="28"/>
          <w:szCs w:val="28"/>
        </w:rPr>
        <w:t xml:space="preserve"> Grading Sheet</w:t>
      </w:r>
    </w:p>
    <w:p w14:paraId="39572280" w14:textId="77777777" w:rsidR="00EB1D93" w:rsidRDefault="00EB1D93" w:rsidP="00D152C5">
      <w:pPr>
        <w:jc w:val="center"/>
        <w:rPr>
          <w:b/>
          <w:sz w:val="28"/>
          <w:szCs w:val="28"/>
        </w:rPr>
      </w:pPr>
    </w:p>
    <w:p w14:paraId="5ED35899" w14:textId="77777777" w:rsidR="002D1950" w:rsidRDefault="00DB2A05" w:rsidP="00060D69">
      <w:r>
        <w:t>Name</w:t>
      </w:r>
      <w:r w:rsidR="00EB1D93" w:rsidRPr="00EB1D93">
        <w:t xml:space="preserve"> ___________________________________________________</w:t>
      </w:r>
      <w:r w:rsidR="00060D69">
        <w:t>_________</w:t>
      </w:r>
      <w:r>
        <w:t>_______</w:t>
      </w:r>
      <w:r w:rsidR="00060D69">
        <w:t xml:space="preserve">     </w:t>
      </w:r>
      <w:r w:rsidR="002D1950">
        <w:br/>
      </w:r>
    </w:p>
    <w:p w14:paraId="6CFAC616" w14:textId="77777777" w:rsidR="00EB1D93" w:rsidRDefault="00EB1D93" w:rsidP="00060D69">
      <w:r w:rsidRPr="00EB1D93">
        <w:t>P</w:t>
      </w:r>
      <w:r w:rsidR="00BF7BD1">
        <w:t>roject __________________</w:t>
      </w:r>
      <w:r w:rsidR="002D1950">
        <w:t xml:space="preserve">______________________   </w:t>
      </w:r>
      <w:r w:rsidR="00BF7BD1">
        <w:t>Date __________</w:t>
      </w:r>
      <w:r w:rsidR="00DB2A05">
        <w:t>__________</w:t>
      </w:r>
      <w:r w:rsidRPr="00EB1D93">
        <w:t xml:space="preserve"> </w:t>
      </w:r>
      <w:r w:rsidR="008A2FC1">
        <w:br/>
      </w:r>
    </w:p>
    <w:p w14:paraId="6B8E3865" w14:textId="77777777" w:rsidR="00060D69" w:rsidRPr="00060D69" w:rsidRDefault="00060D69" w:rsidP="00060D69"/>
    <w:p w14:paraId="4A166504" w14:textId="77777777" w:rsidR="00EB1D93" w:rsidRPr="00D152C5" w:rsidRDefault="006B7BF5" w:rsidP="00D152C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00"/>
      </w:tblGrid>
      <w:tr w:rsidR="00597DF0" w:rsidRPr="005E1699" w14:paraId="0A9A78C2" w14:textId="77777777" w:rsidTr="005E1699">
        <w:tc>
          <w:tcPr>
            <w:tcW w:w="6048" w:type="dxa"/>
          </w:tcPr>
          <w:p w14:paraId="582E1AB3" w14:textId="77777777" w:rsidR="00597DF0" w:rsidRPr="005E1699" w:rsidRDefault="00597DF0" w:rsidP="00597DF0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 xml:space="preserve">Appendix is neat, well organized, and </w:t>
            </w:r>
            <w:r w:rsidRPr="005E1699">
              <w:rPr>
                <w:sz w:val="28"/>
                <w:szCs w:val="28"/>
                <w:u w:val="single"/>
              </w:rPr>
              <w:t>easy</w:t>
            </w:r>
            <w:r w:rsidRPr="005E1699">
              <w:rPr>
                <w:sz w:val="28"/>
                <w:szCs w:val="28"/>
              </w:rPr>
              <w:t xml:space="preserve"> to follow.</w:t>
            </w:r>
            <w:r w:rsidR="00F27B20" w:rsidRPr="005E1699">
              <w:rPr>
                <w:sz w:val="28"/>
                <w:szCs w:val="28"/>
              </w:rPr>
              <w:t xml:space="preserve">  Section headings are utilized as appropriate.</w:t>
            </w:r>
            <w:r w:rsidRPr="005E16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BC33378" w14:textId="5AF6D357" w:rsidR="00597DF0" w:rsidRPr="005E1699" w:rsidRDefault="00597DF0" w:rsidP="00905D28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196C13">
              <w:rPr>
                <w:sz w:val="28"/>
                <w:szCs w:val="28"/>
              </w:rPr>
              <w:t>5</w:t>
            </w:r>
          </w:p>
        </w:tc>
      </w:tr>
      <w:tr w:rsidR="00597DF0" w:rsidRPr="005E1699" w14:paraId="53D9984E" w14:textId="77777777" w:rsidTr="005E1699">
        <w:tc>
          <w:tcPr>
            <w:tcW w:w="6048" w:type="dxa"/>
          </w:tcPr>
          <w:p w14:paraId="63176F2F" w14:textId="77777777" w:rsidR="00597DF0" w:rsidRPr="005E1699" w:rsidRDefault="00597DF0" w:rsidP="00E54C73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  <w:u w:val="single"/>
              </w:rPr>
              <w:t>All</w:t>
            </w:r>
            <w:r w:rsidRPr="005E1699">
              <w:rPr>
                <w:sz w:val="28"/>
                <w:szCs w:val="28"/>
              </w:rPr>
              <w:t xml:space="preserve"> </w:t>
            </w:r>
            <w:r w:rsidR="00F27B20" w:rsidRPr="005E1699">
              <w:rPr>
                <w:sz w:val="28"/>
                <w:szCs w:val="28"/>
              </w:rPr>
              <w:t xml:space="preserve">pertinent </w:t>
            </w:r>
            <w:r w:rsidRPr="005E1699">
              <w:rPr>
                <w:sz w:val="28"/>
                <w:szCs w:val="28"/>
              </w:rPr>
              <w:t>raw data and operating data</w:t>
            </w:r>
            <w:r w:rsidR="00905D28">
              <w:rPr>
                <w:sz w:val="28"/>
                <w:szCs w:val="28"/>
              </w:rPr>
              <w:t xml:space="preserve"> (including the daily log)</w:t>
            </w:r>
            <w:r w:rsidRPr="005E1699">
              <w:rPr>
                <w:sz w:val="28"/>
                <w:szCs w:val="28"/>
              </w:rPr>
              <w:t xml:space="preserve"> are </w:t>
            </w:r>
            <w:r w:rsidRPr="005E1699">
              <w:rPr>
                <w:sz w:val="28"/>
                <w:szCs w:val="28"/>
                <w:u w:val="single"/>
              </w:rPr>
              <w:t>summarized</w:t>
            </w:r>
            <w:r w:rsidRPr="005E1699">
              <w:rPr>
                <w:sz w:val="28"/>
                <w:szCs w:val="28"/>
              </w:rPr>
              <w:t xml:space="preserve"> in table </w:t>
            </w:r>
            <w:r w:rsidR="00C959E5" w:rsidRPr="005E1699">
              <w:rPr>
                <w:sz w:val="28"/>
                <w:szCs w:val="28"/>
              </w:rPr>
              <w:t>and/</w:t>
            </w:r>
            <w:r w:rsidR="00E54C73">
              <w:rPr>
                <w:sz w:val="28"/>
                <w:szCs w:val="28"/>
              </w:rPr>
              <w:t xml:space="preserve">or graph format. </w:t>
            </w:r>
            <w:r w:rsidRPr="005E1699">
              <w:rPr>
                <w:sz w:val="28"/>
                <w:szCs w:val="28"/>
              </w:rPr>
              <w:t xml:space="preserve"> </w:t>
            </w:r>
            <w:r w:rsidR="00905D28">
              <w:rPr>
                <w:sz w:val="28"/>
                <w:szCs w:val="28"/>
              </w:rPr>
              <w:t>Location of raw data is provided.</w:t>
            </w:r>
          </w:p>
        </w:tc>
        <w:tc>
          <w:tcPr>
            <w:tcW w:w="2700" w:type="dxa"/>
          </w:tcPr>
          <w:p w14:paraId="15114D92" w14:textId="7282A966" w:rsidR="00597DF0" w:rsidRPr="005E1699" w:rsidRDefault="00597DF0" w:rsidP="00551CC5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196C13">
              <w:rPr>
                <w:sz w:val="28"/>
                <w:szCs w:val="28"/>
              </w:rPr>
              <w:t>10</w:t>
            </w:r>
          </w:p>
        </w:tc>
      </w:tr>
      <w:tr w:rsidR="00905D28" w:rsidRPr="005E1699" w14:paraId="1EB53C61" w14:textId="77777777" w:rsidTr="005E1699">
        <w:tc>
          <w:tcPr>
            <w:tcW w:w="6048" w:type="dxa"/>
          </w:tcPr>
          <w:p w14:paraId="5DB4C000" w14:textId="77777777" w:rsidR="00905D28" w:rsidRPr="00905D28" w:rsidRDefault="00905D28" w:rsidP="00E54C73">
            <w:pPr>
              <w:rPr>
                <w:sz w:val="28"/>
                <w:szCs w:val="28"/>
              </w:rPr>
            </w:pPr>
            <w:r w:rsidRPr="00905D28">
              <w:rPr>
                <w:sz w:val="28"/>
                <w:szCs w:val="28"/>
              </w:rPr>
              <w:t>Additional</w:t>
            </w:r>
            <w:r>
              <w:rPr>
                <w:sz w:val="28"/>
                <w:szCs w:val="28"/>
              </w:rPr>
              <w:t xml:space="preserve"> theory</w:t>
            </w:r>
            <w:r w:rsidR="00881707">
              <w:rPr>
                <w:sz w:val="28"/>
                <w:szCs w:val="28"/>
              </w:rPr>
              <w:t>/methodology</w:t>
            </w:r>
            <w:r>
              <w:rPr>
                <w:sz w:val="28"/>
                <w:szCs w:val="28"/>
              </w:rPr>
              <w:t xml:space="preserve"> is included if necessary or referenced.</w:t>
            </w:r>
          </w:p>
        </w:tc>
        <w:tc>
          <w:tcPr>
            <w:tcW w:w="2700" w:type="dxa"/>
          </w:tcPr>
          <w:p w14:paraId="7A36ADC4" w14:textId="5FFA8FDE" w:rsidR="00905D28" w:rsidRPr="005E1699" w:rsidRDefault="00905D28" w:rsidP="004F257A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196C13">
              <w:rPr>
                <w:sz w:val="28"/>
                <w:szCs w:val="28"/>
              </w:rPr>
              <w:t>5</w:t>
            </w:r>
          </w:p>
        </w:tc>
      </w:tr>
      <w:tr w:rsidR="00597DF0" w:rsidRPr="005E1699" w14:paraId="104D3062" w14:textId="77777777" w:rsidTr="005E1699">
        <w:tc>
          <w:tcPr>
            <w:tcW w:w="6048" w:type="dxa"/>
          </w:tcPr>
          <w:p w14:paraId="29DA189A" w14:textId="77777777" w:rsidR="00597DF0" w:rsidRPr="005E1699" w:rsidRDefault="00905D28" w:rsidP="00905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Results</w:t>
            </w:r>
            <w:r w:rsidRPr="00905D28">
              <w:rPr>
                <w:sz w:val="28"/>
                <w:szCs w:val="28"/>
              </w:rPr>
              <w:t>, including s</w:t>
            </w:r>
            <w:r w:rsidR="00597DF0" w:rsidRPr="00905D28">
              <w:rPr>
                <w:sz w:val="28"/>
                <w:szCs w:val="28"/>
              </w:rPr>
              <w:t>ample</w:t>
            </w:r>
            <w:r>
              <w:rPr>
                <w:sz w:val="28"/>
                <w:szCs w:val="28"/>
              </w:rPr>
              <w:t xml:space="preserve"> calculations</w:t>
            </w:r>
            <w:r w:rsidR="0055527F" w:rsidRPr="005E1699">
              <w:rPr>
                <w:sz w:val="28"/>
                <w:szCs w:val="28"/>
              </w:rPr>
              <w:t xml:space="preserve"> </w:t>
            </w:r>
            <w:r w:rsidR="00597DF0" w:rsidRPr="005E1699">
              <w:rPr>
                <w:sz w:val="28"/>
                <w:szCs w:val="28"/>
              </w:rPr>
              <w:t>are shown with units and explanatory notes.</w:t>
            </w:r>
            <w:r w:rsidR="00841F34" w:rsidRPr="005E1699">
              <w:rPr>
                <w:sz w:val="28"/>
                <w:szCs w:val="28"/>
              </w:rPr>
              <w:t xml:space="preserve">  </w:t>
            </w:r>
            <w:r w:rsidR="00597DF0" w:rsidRPr="005E1699">
              <w:rPr>
                <w:sz w:val="28"/>
                <w:szCs w:val="28"/>
              </w:rPr>
              <w:t>Calculations are easy to follow.</w:t>
            </w:r>
            <w:r w:rsidR="005B7844" w:rsidRPr="005E1699">
              <w:rPr>
                <w:sz w:val="28"/>
                <w:szCs w:val="28"/>
              </w:rPr>
              <w:t xml:space="preserve">  Equations and calculations are correct.</w:t>
            </w:r>
          </w:p>
        </w:tc>
        <w:tc>
          <w:tcPr>
            <w:tcW w:w="2700" w:type="dxa"/>
          </w:tcPr>
          <w:p w14:paraId="2EEE8ABD" w14:textId="204D5F52" w:rsidR="00597DF0" w:rsidRPr="005E1699" w:rsidRDefault="00597DF0" w:rsidP="00905D28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196C13">
              <w:rPr>
                <w:sz w:val="28"/>
                <w:szCs w:val="28"/>
              </w:rPr>
              <w:t>10</w:t>
            </w:r>
          </w:p>
        </w:tc>
      </w:tr>
      <w:tr w:rsidR="00841F34" w:rsidRPr="005E1699" w14:paraId="5344FB01" w14:textId="77777777" w:rsidTr="005E1699">
        <w:tc>
          <w:tcPr>
            <w:tcW w:w="6048" w:type="dxa"/>
          </w:tcPr>
          <w:p w14:paraId="7C45CA28" w14:textId="77777777" w:rsidR="004F257A" w:rsidRPr="005E1699" w:rsidRDefault="00841F34" w:rsidP="00597DF0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 xml:space="preserve">Details of the statistical analysis of the measured data (means, standard deviations, </w:t>
            </w:r>
            <w:r w:rsidR="00E54C73">
              <w:rPr>
                <w:sz w:val="28"/>
                <w:szCs w:val="28"/>
              </w:rPr>
              <w:t>confidence levels</w:t>
            </w:r>
            <w:r w:rsidRPr="005E1699">
              <w:rPr>
                <w:sz w:val="28"/>
                <w:szCs w:val="28"/>
              </w:rPr>
              <w:t>, etc.) are provided.  Results from the statistical analysis are correlated with information in the raw data table(s).</w:t>
            </w:r>
          </w:p>
        </w:tc>
        <w:tc>
          <w:tcPr>
            <w:tcW w:w="2700" w:type="dxa"/>
          </w:tcPr>
          <w:p w14:paraId="1C696754" w14:textId="723340B8" w:rsidR="00841F34" w:rsidRDefault="00DB1BC8" w:rsidP="005E1699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196C13">
              <w:rPr>
                <w:sz w:val="28"/>
                <w:szCs w:val="28"/>
              </w:rPr>
              <w:t>10</w:t>
            </w:r>
          </w:p>
          <w:p w14:paraId="12ADD2AB" w14:textId="77777777" w:rsidR="00F1544E" w:rsidRDefault="00F1544E" w:rsidP="005E1699">
            <w:pPr>
              <w:jc w:val="right"/>
              <w:rPr>
                <w:sz w:val="28"/>
                <w:szCs w:val="28"/>
              </w:rPr>
            </w:pPr>
          </w:p>
          <w:p w14:paraId="317792BC" w14:textId="77777777" w:rsidR="00F1544E" w:rsidRPr="005E1699" w:rsidRDefault="00F1544E" w:rsidP="00F1544E">
            <w:pPr>
              <w:rPr>
                <w:sz w:val="28"/>
                <w:szCs w:val="28"/>
              </w:rPr>
            </w:pPr>
          </w:p>
        </w:tc>
      </w:tr>
      <w:tr w:rsidR="00F27B20" w:rsidRPr="005E1699" w14:paraId="39EA8B1B" w14:textId="77777777" w:rsidTr="005E1699">
        <w:tc>
          <w:tcPr>
            <w:tcW w:w="6048" w:type="dxa"/>
          </w:tcPr>
          <w:p w14:paraId="185E44DC" w14:textId="77777777" w:rsidR="00F1544E" w:rsidRPr="005E1699" w:rsidRDefault="00F27B20" w:rsidP="00F1544E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  <w:u w:val="single"/>
              </w:rPr>
              <w:t>All</w:t>
            </w:r>
            <w:r w:rsidRPr="005E1699">
              <w:rPr>
                <w:sz w:val="28"/>
                <w:szCs w:val="28"/>
              </w:rPr>
              <w:t xml:space="preserve"> calculations and statistical analysis </w:t>
            </w:r>
            <w:r w:rsidR="00841F34" w:rsidRPr="005E1699">
              <w:rPr>
                <w:sz w:val="28"/>
                <w:szCs w:val="28"/>
              </w:rPr>
              <w:t xml:space="preserve">results </w:t>
            </w:r>
            <w:r w:rsidRPr="005E1699">
              <w:rPr>
                <w:sz w:val="28"/>
                <w:szCs w:val="28"/>
              </w:rPr>
              <w:t>are summarized in table or graph format.</w:t>
            </w:r>
            <w:r w:rsidR="005B7844" w:rsidRPr="005E169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14:paraId="73846A2F" w14:textId="572002AF" w:rsidR="00F27B20" w:rsidRPr="005E1699" w:rsidRDefault="0070714E" w:rsidP="00905D28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196C13">
              <w:rPr>
                <w:sz w:val="28"/>
                <w:szCs w:val="28"/>
              </w:rPr>
              <w:t>10</w:t>
            </w:r>
          </w:p>
        </w:tc>
      </w:tr>
      <w:tr w:rsidR="00597DF0" w:rsidRPr="005E1699" w14:paraId="7EBBD21D" w14:textId="77777777" w:rsidTr="005E1699">
        <w:tc>
          <w:tcPr>
            <w:tcW w:w="6048" w:type="dxa"/>
          </w:tcPr>
          <w:p w14:paraId="75E7525D" w14:textId="77777777" w:rsidR="00841F34" w:rsidRPr="005E1699" w:rsidRDefault="00841F34" w:rsidP="00D30E53">
            <w:pPr>
              <w:rPr>
                <w:sz w:val="28"/>
                <w:szCs w:val="28"/>
              </w:rPr>
            </w:pPr>
          </w:p>
          <w:p w14:paraId="464FA588" w14:textId="77777777" w:rsidR="00597DF0" w:rsidRPr="005E1699" w:rsidRDefault="00597DF0" w:rsidP="00D30E53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TOTAL POINTS</w:t>
            </w:r>
          </w:p>
        </w:tc>
        <w:tc>
          <w:tcPr>
            <w:tcW w:w="2700" w:type="dxa"/>
          </w:tcPr>
          <w:p w14:paraId="788E3409" w14:textId="77777777" w:rsidR="00841F34" w:rsidRPr="005E1699" w:rsidRDefault="00841F34" w:rsidP="005E1699">
            <w:pPr>
              <w:jc w:val="right"/>
              <w:rPr>
                <w:sz w:val="28"/>
                <w:szCs w:val="28"/>
              </w:rPr>
            </w:pPr>
          </w:p>
          <w:p w14:paraId="026F311D" w14:textId="3CEA3C5A" w:rsidR="00597DF0" w:rsidRPr="005E1699" w:rsidRDefault="002371B5" w:rsidP="00905D28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196C13">
              <w:rPr>
                <w:sz w:val="28"/>
                <w:szCs w:val="28"/>
              </w:rPr>
              <w:t>50</w:t>
            </w:r>
          </w:p>
        </w:tc>
      </w:tr>
    </w:tbl>
    <w:p w14:paraId="0678A5AA" w14:textId="77777777" w:rsidR="00D152C5" w:rsidRDefault="00D152C5">
      <w:pPr>
        <w:rPr>
          <w:sz w:val="20"/>
          <w:szCs w:val="20"/>
        </w:rPr>
      </w:pPr>
    </w:p>
    <w:p w14:paraId="5D78305D" w14:textId="77777777" w:rsidR="00317256" w:rsidRPr="00D152C5" w:rsidRDefault="00317256" w:rsidP="00133525">
      <w:pPr>
        <w:jc w:val="center"/>
        <w:rPr>
          <w:sz w:val="20"/>
          <w:szCs w:val="20"/>
        </w:rPr>
      </w:pPr>
    </w:p>
    <w:sectPr w:rsidR="00317256" w:rsidRPr="00D152C5" w:rsidSect="002D19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C5"/>
    <w:rsid w:val="00000644"/>
    <w:rsid w:val="00014174"/>
    <w:rsid w:val="000309C1"/>
    <w:rsid w:val="00060D69"/>
    <w:rsid w:val="00065888"/>
    <w:rsid w:val="00073509"/>
    <w:rsid w:val="00086FC5"/>
    <w:rsid w:val="000A0510"/>
    <w:rsid w:val="000A06DE"/>
    <w:rsid w:val="000A1971"/>
    <w:rsid w:val="000A30E8"/>
    <w:rsid w:val="000C7C42"/>
    <w:rsid w:val="000D6EF7"/>
    <w:rsid w:val="001030F1"/>
    <w:rsid w:val="00125159"/>
    <w:rsid w:val="00133525"/>
    <w:rsid w:val="00191039"/>
    <w:rsid w:val="00196C13"/>
    <w:rsid w:val="001D1787"/>
    <w:rsid w:val="001E598F"/>
    <w:rsid w:val="00201650"/>
    <w:rsid w:val="00202E29"/>
    <w:rsid w:val="002307D2"/>
    <w:rsid w:val="00230DD9"/>
    <w:rsid w:val="002371B5"/>
    <w:rsid w:val="00240421"/>
    <w:rsid w:val="00241EB9"/>
    <w:rsid w:val="00242D73"/>
    <w:rsid w:val="00265DDF"/>
    <w:rsid w:val="0027026E"/>
    <w:rsid w:val="0027757C"/>
    <w:rsid w:val="002A3072"/>
    <w:rsid w:val="002A5737"/>
    <w:rsid w:val="002B1F32"/>
    <w:rsid w:val="002B49B9"/>
    <w:rsid w:val="002C0662"/>
    <w:rsid w:val="002C2F1A"/>
    <w:rsid w:val="002C2F4C"/>
    <w:rsid w:val="002D1950"/>
    <w:rsid w:val="002E6B9A"/>
    <w:rsid w:val="00317256"/>
    <w:rsid w:val="00333E06"/>
    <w:rsid w:val="003349AA"/>
    <w:rsid w:val="003375AF"/>
    <w:rsid w:val="0034260B"/>
    <w:rsid w:val="003508DB"/>
    <w:rsid w:val="00392EFD"/>
    <w:rsid w:val="003A22EE"/>
    <w:rsid w:val="003D28F9"/>
    <w:rsid w:val="003E26BD"/>
    <w:rsid w:val="00421198"/>
    <w:rsid w:val="00464EDF"/>
    <w:rsid w:val="00472031"/>
    <w:rsid w:val="00481541"/>
    <w:rsid w:val="0049794C"/>
    <w:rsid w:val="004A70F8"/>
    <w:rsid w:val="004C291D"/>
    <w:rsid w:val="004D5431"/>
    <w:rsid w:val="004F257A"/>
    <w:rsid w:val="00520150"/>
    <w:rsid w:val="0052103F"/>
    <w:rsid w:val="00531E3B"/>
    <w:rsid w:val="00551CC5"/>
    <w:rsid w:val="0055527F"/>
    <w:rsid w:val="00560581"/>
    <w:rsid w:val="0057584A"/>
    <w:rsid w:val="005832C1"/>
    <w:rsid w:val="00584611"/>
    <w:rsid w:val="00597DF0"/>
    <w:rsid w:val="005A5CFB"/>
    <w:rsid w:val="005A7D31"/>
    <w:rsid w:val="005B09B8"/>
    <w:rsid w:val="005B7844"/>
    <w:rsid w:val="005D2C5F"/>
    <w:rsid w:val="005D35C0"/>
    <w:rsid w:val="005E1699"/>
    <w:rsid w:val="00622D00"/>
    <w:rsid w:val="00633B6F"/>
    <w:rsid w:val="006537D6"/>
    <w:rsid w:val="00654EDF"/>
    <w:rsid w:val="00660F76"/>
    <w:rsid w:val="006B4D5F"/>
    <w:rsid w:val="006B7BF5"/>
    <w:rsid w:val="006D1D4F"/>
    <w:rsid w:val="00704595"/>
    <w:rsid w:val="0070714E"/>
    <w:rsid w:val="00724CA1"/>
    <w:rsid w:val="00735711"/>
    <w:rsid w:val="0075606D"/>
    <w:rsid w:val="00783B20"/>
    <w:rsid w:val="007920F3"/>
    <w:rsid w:val="00797B32"/>
    <w:rsid w:val="007A1712"/>
    <w:rsid w:val="007B1F33"/>
    <w:rsid w:val="007B2538"/>
    <w:rsid w:val="00806340"/>
    <w:rsid w:val="00824C30"/>
    <w:rsid w:val="00840184"/>
    <w:rsid w:val="00841F34"/>
    <w:rsid w:val="00867037"/>
    <w:rsid w:val="008803FB"/>
    <w:rsid w:val="00881707"/>
    <w:rsid w:val="00887F32"/>
    <w:rsid w:val="00894ED0"/>
    <w:rsid w:val="008955A2"/>
    <w:rsid w:val="008A2FC1"/>
    <w:rsid w:val="008A7B49"/>
    <w:rsid w:val="008F5AC1"/>
    <w:rsid w:val="00905D28"/>
    <w:rsid w:val="0094409A"/>
    <w:rsid w:val="00954BA2"/>
    <w:rsid w:val="00986461"/>
    <w:rsid w:val="009963DB"/>
    <w:rsid w:val="009B480D"/>
    <w:rsid w:val="009D7956"/>
    <w:rsid w:val="009E08B7"/>
    <w:rsid w:val="009E1E1F"/>
    <w:rsid w:val="00A26484"/>
    <w:rsid w:val="00A3014C"/>
    <w:rsid w:val="00A31987"/>
    <w:rsid w:val="00A354AC"/>
    <w:rsid w:val="00A42C24"/>
    <w:rsid w:val="00A94F8B"/>
    <w:rsid w:val="00AC48F4"/>
    <w:rsid w:val="00AC6EB4"/>
    <w:rsid w:val="00AD7F1E"/>
    <w:rsid w:val="00B134AF"/>
    <w:rsid w:val="00B16AB2"/>
    <w:rsid w:val="00B25BA8"/>
    <w:rsid w:val="00B41BBC"/>
    <w:rsid w:val="00B479A0"/>
    <w:rsid w:val="00B47B8D"/>
    <w:rsid w:val="00B94695"/>
    <w:rsid w:val="00B96D6C"/>
    <w:rsid w:val="00BA64D7"/>
    <w:rsid w:val="00BE19C3"/>
    <w:rsid w:val="00BF7BD1"/>
    <w:rsid w:val="00C0269A"/>
    <w:rsid w:val="00C104DF"/>
    <w:rsid w:val="00C143EF"/>
    <w:rsid w:val="00C34334"/>
    <w:rsid w:val="00C609E7"/>
    <w:rsid w:val="00C60FDC"/>
    <w:rsid w:val="00C92937"/>
    <w:rsid w:val="00C93ACB"/>
    <w:rsid w:val="00C959E5"/>
    <w:rsid w:val="00CA6296"/>
    <w:rsid w:val="00CB315D"/>
    <w:rsid w:val="00CC6B05"/>
    <w:rsid w:val="00CE3DD1"/>
    <w:rsid w:val="00D152C5"/>
    <w:rsid w:val="00D16E0F"/>
    <w:rsid w:val="00D30E53"/>
    <w:rsid w:val="00D44C07"/>
    <w:rsid w:val="00D57D9B"/>
    <w:rsid w:val="00D630D0"/>
    <w:rsid w:val="00D83299"/>
    <w:rsid w:val="00DA0013"/>
    <w:rsid w:val="00DB0D98"/>
    <w:rsid w:val="00DB1BC8"/>
    <w:rsid w:val="00DB2A05"/>
    <w:rsid w:val="00DB3EB4"/>
    <w:rsid w:val="00E03CDE"/>
    <w:rsid w:val="00E34431"/>
    <w:rsid w:val="00E364D9"/>
    <w:rsid w:val="00E44257"/>
    <w:rsid w:val="00E54C73"/>
    <w:rsid w:val="00E8109F"/>
    <w:rsid w:val="00EB1D93"/>
    <w:rsid w:val="00EC0D76"/>
    <w:rsid w:val="00ED1ADE"/>
    <w:rsid w:val="00ED2A39"/>
    <w:rsid w:val="00EE65B4"/>
    <w:rsid w:val="00EE6ADF"/>
    <w:rsid w:val="00F07E5F"/>
    <w:rsid w:val="00F1544E"/>
    <w:rsid w:val="00F26001"/>
    <w:rsid w:val="00F27B20"/>
    <w:rsid w:val="00F406B0"/>
    <w:rsid w:val="00F61D03"/>
    <w:rsid w:val="00FD2B90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AAF86"/>
  <w15:chartTrackingRefBased/>
  <w15:docId w15:val="{0DBA0EDD-9657-43B9-A432-D7A9D45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subject/>
  <dc:creator>Randy Lewis</dc:creator>
  <cp:keywords/>
  <dc:description/>
  <cp:lastModifiedBy>Stan Harding</cp:lastModifiedBy>
  <cp:revision>2</cp:revision>
  <cp:lastPrinted>2008-09-05T15:25:00Z</cp:lastPrinted>
  <dcterms:created xsi:type="dcterms:W3CDTF">2020-08-27T15:35:00Z</dcterms:created>
  <dcterms:modified xsi:type="dcterms:W3CDTF">2020-08-27T15:35:00Z</dcterms:modified>
</cp:coreProperties>
</file>